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bookmarkStart w:id="0" w:name="_GoBack"/>
      <w:bookmarkEnd w:id="0"/>
      <w:r>
        <w:rPr>
          <w:rStyle w:val="9"/>
          <w:rFonts w:hint="eastAsia" w:ascii="微软雅黑" w:hAnsi="微软雅黑" w:eastAsia="微软雅黑" w:cs="微软雅黑"/>
          <w:b/>
          <w:i w:val="0"/>
          <w:caps w:val="0"/>
          <w:color w:val="333333"/>
          <w:spacing w:val="0"/>
          <w:sz w:val="24"/>
          <w:szCs w:val="24"/>
        </w:rPr>
        <w:t>一、选择题：l～20小题。每小题2分，共40分。在每小题给出的四个选项中，只有一项是符合题目要求的，将所选项前的字母填在题后的括号内。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1.书法作品《祭侄文稿》的作者是(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A.王羲之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B.米芾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C.怀素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D.颜真卿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2.认为“艺术是人类情感的符号形式的创造”的美国美学家是(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A.苏珊·朗格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B.杜威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C.克莱夫·贝尔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D.克罗齐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3.法国印象主义绘画代表作《日出·印象》的作者是(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A.凡·高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B.莫奈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C.库尔贝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D.安格尔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4.下列民乐作品中，由中国现代著名作曲家刘天华创作的是(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A.《昭君出塞》《十面埋伏》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B.《二泉映月》《江河水》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C.《病中吟》《听松》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D.《良宵》《光明行》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5.下列选项中属于苏州四大园林之一的是(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A.寄畅园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B.豫园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C.颐和园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D.留园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6.被誉为世界古代建筑奇迹之一的泰姬陵坐落于(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A.印度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B.埃及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C泰国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D.巴基斯坦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7.奉先寺卢舍那大佛具有典型的唐代造像风格，它位于(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A.云冈石窟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B.龙门石窟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C.麦积山石窟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D.敦煌莫高窟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8.“三一律”是法国古典主义戏剧的创作原则，下列选项不属于“三一律”要素的是(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A.时间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B.地点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D.情节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9.以艺术作品的存在方式为依据，戏剧属于(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A.时间艺术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B.空间艺术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C.时空艺术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D.想象艺术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10.通常被视为小说创作不可缺少的三个基本要素是(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A.人物、情节和环境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B.语言、情节和形象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C.人物、情节和主题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D.题材、人物和主题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11.西方20世纪美术野兽派的创始人和主要代表人物是法国著名画家(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B.塞尚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C.马蒂斯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D.杜尚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12.文学名句“幸福的家庭都是相似的，不幸的家庭各有各的不幸”出自(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A.《悲惨世界》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B.《巴黎圣母院》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C.《阴谋与爱情》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D.《安娜·卡列尼娜》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13.1905年影片《定军山》的摄制标志着中国电影的正式诞生，其主演为京剧老生名家(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A.余叔岩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B.马连良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C.谭鑫培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D.奚啸伯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14.在戏剧表演理论中，提出“间离效应(果)”说的戏剧家是(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A.布莱希特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B.斯坦尼斯拉夫斯基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C.加缪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D.果戈里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15.打破古典芭蕾程式并追求舞蹈自由表达情感，被誉为现代舞先驱的舞蹈家是(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A.乌兰诺娃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B.邓肯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C.米歇尔·福金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D.泰德·肖恩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16.作为俄罗斯民族乐派的代表人物，柴可夫斯基的代表作品是(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A.舞剧《天鹅湖》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B.《田园交响曲》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C.《蓝色多瑙河》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D.《春之声圆舞曲》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17.描写柳梦梅与杜丽娘由“惊梦”到“寻梦”爱情故事的传统戏曲是(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A.《梧桐雨》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B.《西厢记》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C.《牡丹亭》</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D.《桃花扇》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答案：C</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18.光源来自被摄体的后方，锐利鲜明地表现出被摄对象轮廓的用光为(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A.顺光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B.逆光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C.顶光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D.侧光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19.吸取敦煌壁画中的舞姿特点，并表现唐代文化风貌的中国舞剧是(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A.《宝莲灯》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B.《丝路花雨》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C.《召树屯与楠木婼娜》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D.《祝福》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答案：B</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20.费穆后期导演的电影中，充分体现了中国古典美学精神的作品是(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A.《一江春水向东流》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B.《渔光曲》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C.《祝福》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D.《小城之春》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答案：D</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二、简答题：21～23小题，每小题l0分，共30分。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21.简述艺术起源“巫术说”的基本观点。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答案：(1)认为艺术起源于原始民族的巫术仪式活动。万物有灵、交感巫术等原始思维方式及表现形式深刻影响着艺术的产生与发展。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(2)这是在近现代西方学术界最具影响的一种理论。这个学说最早由英国学者爱德华·泰勒在其《原始文化》一书中提出，英国学者詹姆斯·弗雷泽在其人类学著作《金枝》中也持这一观点。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22.简述审美想象的含义与特点。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审美想象是在记忆表象的基础上，经过有目的的组织和改造，创造新的艺术形象或意境的过程。(2)审美想象的特性：①审美想象离不开表象记忆;②审美想象是积极的、能动的和创造性的;③审美想象要符合生活的逻辑和情感的逻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23.简述戏剧艺术的基本内涵。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戏剧艺术是指以舞台演出为表现方式，由演员扮演角色，为观众现场展现故事情节的艺术样式。戏剧以演员的动作和声音为基本表现手段，以舞台美术、音响、服装、化妆、道具等多种技术手段为重要构成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(2)戏剧的分类，按其表现手段的不同，可以分为话剧、歌剧和舞剧;按其矛盾冲突的性质不同，可以分为悲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剧、喜剧和正剧;按其容量大小，可以分为多幕剧、独幕剧。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三、作品赏析题：24～26小题，请任选其中两小题作答。若都作答，只按前两小题的得分计入总分。每小题15分，共30分。要求陈述作品的作者及其国别(或地区)、时代，结合个人所学理论和审美体验阐述作品的基本内容，分析作品的形式特点和风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24.音乐艺术：小提琴协奏曲《梁山伯与祝英台》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由何占豪、陈钢作曲，l959年完成。取材于民间传说，吸取越剧唱腔为素材写成。它综合采用交响乐与中国民间戏曲音乐的表现手法，按照剧情结构布局，深入而细腻地描绘了梁祝相爱、抗婚、化蝶的情感与意境。音乐用奏鸣曲式写成，双簧管以柔和抒情的引子展示出一幅风和日丽、春光明媚、百花盛开的画面;独奏小提琴从柔和朴素的A弦开始，在明朗的高音区富于韵味地奏出了诗意的爱情主题;铜管以严峻的节奏、阴沉的音调，奏出了封建势力凶暴残酷的主题;小提琴与大提琴的对答，时分时合，把梁祝相互倾诉爱慕之情的情景表现得淋漓尽致;弦乐快速的切分节奏，独奏的散板与乐队齐奏的快板交替表现哭灵控诉;长笛美妙的华彩旋律结合竖琴的级进滑奏把人们带到了梦幻仙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25.戏曲艺术：《长生殿》</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清代戏曲家洪异的代表作。全剧分上、下两部，共五十出，描写了唐明皇与杨贵妃之间凄美哀婉的爱情悲剧。杨玉环被册封为贵妃后骄奢放纵，排除异己，李隆基则淫逸无度，不理朝政。后来，安禄山谋反，仓促间唐军无力抵抗，李隆基只好携杨玉环奔蜀。行至马嵬驿，六军不发，杀死杨国忠，逼死杨玉环。平乱之后，李隆基返回长安，日夜思念杨玉环，派道士寻觅贵妃鬼魂，最后在嫦娥的帮助下终于在月宫团圆。《长生殿》以抒情的笔调，把动人的故事情节同广泛深刻的社会矛盾有机地结合起来，并以具有典型意义的人物形象、宏伟的场和优美的曲调，把古典戏曲推上了一个新的高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26.绘画艺术：达·芬奇《最后的晚餐》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最后的晚餐》是意大利文艺复兴时期的著名画家达·芬奇的代表作品。达·芬奇在此画中一反文艺复兴早期对这一题材的传统处理方式，取消了犹大独处的位置，把他置身于众门徒之中，而且所有的人物头上都未画光环。达·芬奇根据十二个门徒不同的表情、姿态、手势等，真实、生动地刻画了他们复杂的心理状态，而基督则异常沉静、安详。在构图上，十二门徒被明确地分为四组，对称地分列基督两侧，形成了一个穿插变化又相互统一的整体。画面所有人物的姿态、表情都集中在基督身上，建筑物的透视线也最终以基督为焦点，由此，基督成为统领全局的中心人物。达·芬奇将犹大列于众人之中，又利用实际光源将其分开，充分体现了画家用光的技巧与能力。</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Style w:val="9"/>
          <w:rFonts w:hint="eastAsia" w:ascii="微软雅黑" w:hAnsi="微软雅黑" w:eastAsia="微软雅黑" w:cs="微软雅黑"/>
          <w:b/>
          <w:i w:val="0"/>
          <w:caps w:val="0"/>
          <w:color w:val="333333"/>
          <w:spacing w:val="0"/>
          <w:sz w:val="24"/>
          <w:szCs w:val="24"/>
        </w:rPr>
        <w:t>四、论述题：27～28小题，每小题25分，共50分。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27.结合艺术现象或作品，论述艺术发展中继承与创新的关系。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答案：(1)继承和创新是促进艺术发展的重要因素。艺术的发展是有其内在继承性的，这种继承性，反映着社会意识形态和人们审美观念的连续性。后一时代的艺术必然要在前一时代艺术的基础上得以发展。 (2)艺术的历史继承性，首先表现为对本民族艺术传统的吸收和接受，以及对其他民族和国家优秀文化与艺术成果的吸纳，尤其表现在对艺术的形式与技巧、内容、审美观念和创作方法等方面的继承上。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艺术发展的过程就是一个不断除旧布新、推陈出新的过程。为了创新，就要坚持批判的原则，对过去的文化遗产去其糟粕，取其精华。同时，又要坚持在艺术内容、艺术形式、艺术语言、艺术表现手法等方面的创造，不断适应新时代人们对于审美文化和艺术的需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结合艺术现象或作品，进行分析和阐释，例证有说服力，逻辑清楚。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28.结合具体个案，分析艺术传播的主要方式及其特点。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答案：艺术传播的方式有很多种。历史上先后出现口头传播、文字传播、印刷传播和网络传播等方式。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在现代社会中艺术传播的主要方式有：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(1)现场表演传播方式，是指传播者与受传者面对面进行艺术信息传播的方式，具有沟通直接、手段多样、反馈及时、互动性强等特点。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(2)展览性传播方式，是指在一定的场所陈列艺术作品，供观众直接接受艺术信息的传播方式。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rPr>
          <w:rFonts w:hint="eastAsia" w:ascii="微软雅黑" w:hAnsi="微软雅黑" w:eastAsia="微软雅黑" w:cs="微软雅黑"/>
          <w:b w:val="0"/>
          <w:i w:val="0"/>
          <w:caps w:val="0"/>
          <w:color w:val="333333"/>
          <w:spacing w:val="0"/>
          <w:sz w:val="24"/>
          <w:szCs w:val="24"/>
        </w:rPr>
      </w:pPr>
      <w:r>
        <w:rPr>
          <w:rFonts w:hint="eastAsia" w:ascii="微软雅黑" w:hAnsi="微软雅黑" w:eastAsia="微软雅黑" w:cs="微软雅黑"/>
          <w:b w:val="0"/>
          <w:i w:val="0"/>
          <w:caps w:val="0"/>
          <w:color w:val="333333"/>
          <w:spacing w:val="0"/>
          <w:sz w:val="24"/>
          <w:szCs w:val="24"/>
        </w:rPr>
        <w:t>(3)大众传播方式，是指专业化的媒介组织运用先进的传播技术进行大规模艺术信息传播活动的方式，主要包括报刊、广播、影视、网络等。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25" w:afterAutospacing="0" w:line="450" w:lineRule="atLeast"/>
        <w:ind w:left="0" w:right="0" w:firstLine="420"/>
        <w:jc w:val="left"/>
      </w:pPr>
      <w:r>
        <w:rPr>
          <w:rFonts w:hint="eastAsia" w:ascii="微软雅黑" w:hAnsi="微软雅黑" w:eastAsia="微软雅黑" w:cs="微软雅黑"/>
          <w:b w:val="0"/>
          <w:i w:val="0"/>
          <w:caps w:val="0"/>
          <w:color w:val="333333"/>
          <w:spacing w:val="0"/>
          <w:sz w:val="24"/>
          <w:szCs w:val="24"/>
        </w:rPr>
        <w:t>结合实例，进行分析和阐释，例证有说服力，逻辑清楚。</w:t>
      </w:r>
    </w:p>
    <w:sectPr>
      <w:headerReference r:id="rId5" w:type="first"/>
      <w:headerReference r:id="rId3" w:type="default"/>
      <w:footerReference r:id="rId6" w:type="default"/>
      <w:headerReference r:id="rId4" w:type="even"/>
      <w:pgSz w:w="11906" w:h="16838"/>
      <w:pgMar w:top="720" w:right="720" w:bottom="720" w:left="720" w:header="340" w:footer="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roman"/>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rFonts w:hint="eastAsia"/>
        <w:lang w:val="en-US" w:eastAsia="zh-CN"/>
      </w:rPr>
      <w:t>菏泽</w:t>
    </w:r>
    <w:r>
      <w:rPr>
        <w:rFonts w:hint="eastAsia"/>
      </w:rPr>
      <w:t>成人高考历年真题</w:t>
    </w:r>
    <w:r>
      <w:rPr>
        <w:rFonts w:hint="eastAsia"/>
      </w:rPr>
      <w:tab/>
    </w:r>
    <w:r>
      <w:rPr>
        <w:rFonts w:hint="eastAsia"/>
        <w:lang w:val="en-US" w:eastAsia="zh-CN"/>
      </w:rPr>
      <w:t>菏泽</w:t>
    </w:r>
    <w:r>
      <w:rPr>
        <w:rFonts w:hint="eastAsia"/>
      </w:rPr>
      <w:t xml:space="preserve">成考网（www.hzckedu.cn） </w:t>
    </w:r>
    <w:r>
      <w:rPr>
        <w:rFonts w:hint="eastAsia"/>
      </w:rPr>
      <w:tab/>
    </w:r>
    <w:r>
      <w:rPr>
        <w:rFonts w:hint="eastAsia"/>
      </w:rPr>
      <w:t>微信：</w:t>
    </w:r>
    <w:r>
      <w:rPr>
        <w:rFonts w:hint="eastAsia"/>
        <w:lang w:val="en-US" w:eastAsia="zh-CN"/>
      </w:rPr>
      <w:t>15653487770</w:t>
    </w:r>
    <w:r>
      <w:rPr>
        <w:rFonts w:hint="eastAsia"/>
      </w:rPr>
      <w:t>（</w:t>
    </w:r>
    <w:r>
      <w:rPr>
        <w:rFonts w:hint="eastAsia"/>
        <w:lang w:val="en-US" w:eastAsia="zh-CN"/>
      </w:rPr>
      <w:t>桑</w:t>
    </w:r>
    <w:r>
      <w:rPr>
        <w:rFonts w:hint="eastAsia"/>
      </w:rPr>
      <w:t>老师）</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4" o:spid="_x0000_s4098" o:spt="75" type="#_x0000_t75" style="position:absolute;left:0pt;height:769.15pt;width:461.5pt;mso-position-horizontal:center;mso-position-horizontal-relative:margin;mso-position-vertical:center;mso-position-vertical-relative:margin;z-index:-251656192;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WordPictureWatermark1032578453" o:spid="_x0000_s4097" o:spt="75" type="#_x0000_t75" style="position:absolute;left:0pt;height:769.15pt;width:461.5pt;mso-position-horizontal:center;mso-position-horizontal-relative:margin;mso-position-vertical:center;mso-position-vertical-relative:margin;z-index:-251657216;mso-width-relative:page;mso-height-relative:page;" filled="f" o:preferrelative="t" stroked="f" coordsize="21600,21600" o:allowincell="f">
          <v:path/>
          <v:fill on="f" focussize="0,0"/>
          <v:stroke on="f" joinstyle="miter"/>
          <v:imagedata r:id="rId1" gain="19661f" blacklevel="22938f" o:title="水印排版"/>
          <o:lock v:ext="edit" aspectratio="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DllM2YwOWJiYzliOTNjNDhjZWY4MDZlMDk5YjgwNjEifQ=="/>
  </w:docVars>
  <w:rsids>
    <w:rsidRoot w:val="002E176C"/>
    <w:rsid w:val="000256F3"/>
    <w:rsid w:val="00056BDF"/>
    <w:rsid w:val="00096F3C"/>
    <w:rsid w:val="000B078D"/>
    <w:rsid w:val="000F27C9"/>
    <w:rsid w:val="00102E91"/>
    <w:rsid w:val="00151117"/>
    <w:rsid w:val="00155B7C"/>
    <w:rsid w:val="0016426E"/>
    <w:rsid w:val="001A5EC4"/>
    <w:rsid w:val="001C44E1"/>
    <w:rsid w:val="00217949"/>
    <w:rsid w:val="002606B3"/>
    <w:rsid w:val="002B6CE4"/>
    <w:rsid w:val="002E176C"/>
    <w:rsid w:val="00396F51"/>
    <w:rsid w:val="004301E4"/>
    <w:rsid w:val="00482EEE"/>
    <w:rsid w:val="004A13C4"/>
    <w:rsid w:val="004E25E6"/>
    <w:rsid w:val="0050120A"/>
    <w:rsid w:val="00611655"/>
    <w:rsid w:val="00650545"/>
    <w:rsid w:val="00677F79"/>
    <w:rsid w:val="00690A0D"/>
    <w:rsid w:val="00693788"/>
    <w:rsid w:val="006E12F4"/>
    <w:rsid w:val="00742691"/>
    <w:rsid w:val="00776125"/>
    <w:rsid w:val="007768FD"/>
    <w:rsid w:val="007D1165"/>
    <w:rsid w:val="008173E2"/>
    <w:rsid w:val="008468CE"/>
    <w:rsid w:val="008D1CE2"/>
    <w:rsid w:val="00903D8F"/>
    <w:rsid w:val="00934EA5"/>
    <w:rsid w:val="00A171B5"/>
    <w:rsid w:val="00A46E66"/>
    <w:rsid w:val="00A54219"/>
    <w:rsid w:val="00A65033"/>
    <w:rsid w:val="00A66CC1"/>
    <w:rsid w:val="00B356CB"/>
    <w:rsid w:val="00B429C1"/>
    <w:rsid w:val="00B96415"/>
    <w:rsid w:val="00BF4FB8"/>
    <w:rsid w:val="00C41609"/>
    <w:rsid w:val="00C9110C"/>
    <w:rsid w:val="00DC49B6"/>
    <w:rsid w:val="00E80697"/>
    <w:rsid w:val="00ED0F2B"/>
    <w:rsid w:val="00EE22D1"/>
    <w:rsid w:val="00F56076"/>
    <w:rsid w:val="00FD5EDA"/>
    <w:rsid w:val="0DF25D5D"/>
    <w:rsid w:val="1E7512BF"/>
    <w:rsid w:val="254100BD"/>
    <w:rsid w:val="27DF7F57"/>
    <w:rsid w:val="2D9A798B"/>
    <w:rsid w:val="36A0648C"/>
    <w:rsid w:val="37E55DF6"/>
    <w:rsid w:val="3A0E2C0C"/>
    <w:rsid w:val="43B40CF8"/>
    <w:rsid w:val="5753346C"/>
    <w:rsid w:val="5B544172"/>
    <w:rsid w:val="62114D29"/>
    <w:rsid w:val="673812E8"/>
    <w:rsid w:val="6D38044A"/>
    <w:rsid w:val="742F041E"/>
    <w:rsid w:val="7DDE061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unhideWhenUsed/>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Balloon Text"/>
    <w:basedOn w:val="1"/>
    <w:link w:val="13"/>
    <w:unhideWhenUsed/>
    <w:qFormat/>
    <w:uiPriority w:val="99"/>
    <w:rPr>
      <w:rFonts w:asciiTheme="minorHAnsi" w:hAnsiTheme="minorHAnsi" w:eastAsiaTheme="minorEastAsia" w:cstheme="minorBidi"/>
      <w:sz w:val="18"/>
      <w:szCs w:val="18"/>
    </w:rPr>
  </w:style>
  <w:style w:type="paragraph" w:styleId="3">
    <w:name w:val="footer"/>
    <w:basedOn w:val="1"/>
    <w:link w:val="12"/>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spacing w:before="0" w:beforeAutospacing="1" w:after="0" w:afterAutospacing="1"/>
      <w:ind w:left="0" w:right="0"/>
      <w:jc w:val="left"/>
    </w:pPr>
    <w:rPr>
      <w:kern w:val="0"/>
      <w:sz w:val="24"/>
      <w:lang w:val="en-US" w:eastAsia="zh-CN" w:bidi="ar"/>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22"/>
    <w:rPr>
      <w:b/>
      <w:bCs/>
    </w:rPr>
  </w:style>
  <w:style w:type="character" w:styleId="10">
    <w:name w:val="Hyperlink"/>
    <w:basedOn w:val="8"/>
    <w:unhideWhenUsed/>
    <w:qFormat/>
    <w:uiPriority w:val="99"/>
    <w:rPr>
      <w:color w:val="0000FF" w:themeColor="hyperlink"/>
      <w:u w:val="single"/>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33D2EDA-1AC1-4691-8DBA-3DBD590641FC}">
  <ds:schemaRefs/>
</ds:datastoreItem>
</file>

<file path=docProps/app.xml><?xml version="1.0" encoding="utf-8"?>
<Properties xmlns="http://schemas.openxmlformats.org/officeDocument/2006/extended-properties" xmlns:vt="http://schemas.openxmlformats.org/officeDocument/2006/docPropsVTypes">
  <Template>Normal</Template>
  <Pages>10</Pages>
  <Words>3326</Words>
  <Characters>3498</Characters>
  <Lines>220</Lines>
  <Paragraphs>62</Paragraphs>
  <TotalTime>0</TotalTime>
  <ScaleCrop>false</ScaleCrop>
  <LinksUpToDate>false</LinksUpToDate>
  <CharactersWithSpaces>3519</CharactersWithSpaces>
  <Application>WPS Office_11.1.0.13607_F1E327BC-269C-435d-A152-05C5408002CA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2017-02-20T08:54:00Z</dcterms:created>
  <dc:creator>llllu</dc:creator>
  <cp:lastModifiedBy>慧账房·财税服务-桑松</cp:lastModifiedBy>
  <dcterms:modified xsi:type="dcterms:W3CDTF">2022-11-17T05:50:07Z</dcterms:modified>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2052-11.1.0.13607</vt:lpwstr>
  </property>
  <property fmtid="{D5CDD505-2E9C-101B-9397-08002B2CF9AE}" pid="3" name="ICV">
    <vt:lpwstr>D2E50103EC634D3CA466B34298DC5886</vt:lpwstr>
  </property>
</Properties>
</file>